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32" w:rsidRDefault="000A7032" w:rsidP="00FE4284">
      <w:pPr>
        <w:autoSpaceDE w:val="0"/>
        <w:autoSpaceDN w:val="0"/>
        <w:adjustRightInd w:val="0"/>
        <w:spacing w:after="0" w:line="240" w:lineRule="auto"/>
        <w:jc w:val="center"/>
        <w:rPr>
          <w:rFonts w:ascii="ArialMT" w:hAnsi="ArialMT" w:cs="ArialMT"/>
          <w:b/>
          <w:sz w:val="20"/>
          <w:szCs w:val="20"/>
        </w:rPr>
      </w:pPr>
      <w:bookmarkStart w:id="0" w:name="_GoBack"/>
      <w:bookmarkEnd w:id="0"/>
    </w:p>
    <w:p w:rsidR="00FE4284" w:rsidRPr="00DA67CD" w:rsidRDefault="00FE4284" w:rsidP="00FE4284">
      <w:pPr>
        <w:autoSpaceDE w:val="0"/>
        <w:autoSpaceDN w:val="0"/>
        <w:adjustRightInd w:val="0"/>
        <w:spacing w:after="0" w:line="240" w:lineRule="auto"/>
        <w:jc w:val="center"/>
        <w:rPr>
          <w:rFonts w:ascii="ArialMT" w:hAnsi="ArialMT" w:cs="ArialMT"/>
          <w:b/>
          <w:sz w:val="20"/>
          <w:szCs w:val="20"/>
        </w:rPr>
      </w:pPr>
      <w:r w:rsidRPr="00DA67CD">
        <w:rPr>
          <w:rFonts w:ascii="ArialMT" w:hAnsi="ArialMT" w:cs="ArialMT"/>
          <w:b/>
          <w:sz w:val="20"/>
          <w:szCs w:val="20"/>
        </w:rPr>
        <w:t>ANEXO IV. GASTOS NO SUBVENCIONABLES</w:t>
      </w:r>
    </w:p>
    <w:p w:rsidR="00FE4284" w:rsidRDefault="00FE4284" w:rsidP="00FE4284">
      <w:pPr>
        <w:autoSpaceDE w:val="0"/>
        <w:autoSpaceDN w:val="0"/>
        <w:adjustRightInd w:val="0"/>
        <w:spacing w:after="0" w:line="240" w:lineRule="auto"/>
        <w:jc w:val="center"/>
        <w:rPr>
          <w:rFonts w:ascii="ArialMT" w:hAnsi="ArialMT" w:cs="ArialMT"/>
          <w:sz w:val="20"/>
          <w:szCs w:val="20"/>
        </w:rPr>
      </w:pPr>
    </w:p>
    <w:p w:rsidR="00FE4284" w:rsidRDefault="00FE4284" w:rsidP="00FE4284">
      <w:pPr>
        <w:autoSpaceDE w:val="0"/>
        <w:autoSpaceDN w:val="0"/>
        <w:adjustRightInd w:val="0"/>
        <w:spacing w:after="0" w:line="240" w:lineRule="auto"/>
        <w:jc w:val="center"/>
        <w:rPr>
          <w:rFonts w:ascii="ArialMT" w:hAnsi="ArialMT" w:cs="ArialMT"/>
          <w:sz w:val="20"/>
          <w:szCs w:val="20"/>
        </w:rPr>
      </w:pPr>
    </w:p>
    <w:p w:rsidR="00FE4284" w:rsidRPr="00B44454" w:rsidRDefault="00FE4284" w:rsidP="00FE428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1. Las inversiones de mera sustitución, de conformidad con el </w:t>
      </w:r>
      <w:r w:rsidRPr="00B44454">
        <w:rPr>
          <w:rFonts w:ascii="ArialMT" w:hAnsi="ArialMT" w:cs="ArialMT"/>
          <w:sz w:val="20"/>
          <w:szCs w:val="20"/>
        </w:rPr>
        <w:t xml:space="preserve">punto 4 del artículo 33 del Reglamento Delegado (UE) </w:t>
      </w:r>
      <w:r>
        <w:rPr>
          <w:rFonts w:ascii="ArialMT" w:hAnsi="ArialMT" w:cs="ArialMT"/>
          <w:sz w:val="20"/>
          <w:szCs w:val="20"/>
        </w:rPr>
        <w:t xml:space="preserve">nº </w:t>
      </w:r>
      <w:r w:rsidRPr="00B44454">
        <w:rPr>
          <w:rFonts w:ascii="ArialMT" w:hAnsi="ArialMT" w:cs="ArialMT"/>
          <w:sz w:val="20"/>
          <w:szCs w:val="20"/>
        </w:rPr>
        <w:t>2016/1149 de la Com</w:t>
      </w:r>
      <w:r>
        <w:rPr>
          <w:rFonts w:ascii="ArialMT" w:hAnsi="ArialMT" w:cs="ArialMT"/>
          <w:sz w:val="20"/>
          <w:szCs w:val="20"/>
        </w:rPr>
        <w:t>isión, de 15 de abril de 2016.</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B44454" w:rsidRDefault="00FE4284" w:rsidP="00FE4284">
      <w:pPr>
        <w:autoSpaceDE w:val="0"/>
        <w:autoSpaceDN w:val="0"/>
        <w:adjustRightInd w:val="0"/>
        <w:spacing w:after="0" w:line="240" w:lineRule="auto"/>
        <w:jc w:val="both"/>
        <w:rPr>
          <w:rFonts w:ascii="ArialMT" w:hAnsi="ArialMT" w:cs="ArialMT"/>
          <w:sz w:val="20"/>
          <w:szCs w:val="20"/>
        </w:rPr>
      </w:pPr>
      <w:r w:rsidRPr="00B44454">
        <w:rPr>
          <w:rFonts w:ascii="ArialMT" w:hAnsi="ArialMT" w:cs="ArialMT"/>
          <w:sz w:val="20"/>
          <w:szCs w:val="20"/>
        </w:rPr>
        <w:t>2. La</w:t>
      </w:r>
      <w:r>
        <w:rPr>
          <w:rFonts w:ascii="ArialMT" w:hAnsi="ArialMT" w:cs="ArialMT"/>
          <w:sz w:val="20"/>
          <w:szCs w:val="20"/>
        </w:rPr>
        <w:t>s inversiones en</w:t>
      </w:r>
      <w:r w:rsidRPr="00B44454">
        <w:rPr>
          <w:rFonts w:ascii="ArialMT" w:hAnsi="ArialMT" w:cs="ArialMT"/>
          <w:sz w:val="20"/>
          <w:szCs w:val="20"/>
        </w:rPr>
        <w:t xml:space="preserve"> investigación</w:t>
      </w:r>
      <w:r>
        <w:rPr>
          <w:rFonts w:ascii="ArialMT" w:hAnsi="ArialMT" w:cs="ArialMT"/>
          <w:sz w:val="20"/>
          <w:szCs w:val="20"/>
        </w:rPr>
        <w:t>.</w:t>
      </w:r>
      <w:r w:rsidRPr="00B44454">
        <w:rPr>
          <w:rFonts w:ascii="ArialMT" w:hAnsi="ArialMT" w:cs="ArialMT"/>
          <w:sz w:val="20"/>
          <w:szCs w:val="20"/>
        </w:rPr>
        <w:t xml:space="preserve"> </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3. Las inversiones que figuren en la contabilidad como gastos.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745D56" w:rsidRDefault="00FE4284" w:rsidP="00FE4284">
      <w:pPr>
        <w:autoSpaceDE w:val="0"/>
        <w:autoSpaceDN w:val="0"/>
        <w:adjustRightInd w:val="0"/>
        <w:spacing w:after="0" w:line="240" w:lineRule="auto"/>
        <w:jc w:val="both"/>
        <w:rPr>
          <w:rFonts w:ascii="ArialMT" w:hAnsi="ArialMT" w:cs="ArialMT"/>
          <w:b/>
          <w:sz w:val="20"/>
          <w:szCs w:val="20"/>
        </w:rPr>
      </w:pPr>
      <w:r>
        <w:rPr>
          <w:rFonts w:ascii="ArialMT" w:hAnsi="ArialMT" w:cs="ArialMT"/>
          <w:sz w:val="20"/>
          <w:szCs w:val="20"/>
        </w:rPr>
        <w:t xml:space="preserve">4. Los gastos de constitución y primer establecimiento. </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DD3DD0" w:rsidRDefault="00FE4284" w:rsidP="00FE4284">
      <w:pPr>
        <w:autoSpaceDE w:val="0"/>
        <w:autoSpaceDN w:val="0"/>
        <w:adjustRightInd w:val="0"/>
        <w:spacing w:after="0" w:line="240" w:lineRule="auto"/>
        <w:jc w:val="both"/>
        <w:rPr>
          <w:rFonts w:ascii="ArialMT" w:hAnsi="ArialMT" w:cs="ArialMT"/>
          <w:sz w:val="20"/>
          <w:szCs w:val="20"/>
        </w:rPr>
      </w:pPr>
      <w:r w:rsidRPr="00DD3DD0">
        <w:rPr>
          <w:rFonts w:ascii="ArialMT" w:hAnsi="ArialMT" w:cs="ArialMT"/>
          <w:sz w:val="20"/>
          <w:szCs w:val="20"/>
        </w:rPr>
        <w:t>5. La compra de terrenos y los gastos relacionados con la misma (honorarios de notario, impuestos y similares)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DD3DD0" w:rsidRDefault="00FE4284" w:rsidP="00FE4284">
      <w:pPr>
        <w:autoSpaceDE w:val="0"/>
        <w:autoSpaceDN w:val="0"/>
        <w:adjustRightInd w:val="0"/>
        <w:spacing w:after="0" w:line="240" w:lineRule="auto"/>
        <w:jc w:val="both"/>
        <w:rPr>
          <w:rFonts w:ascii="ArialMT" w:hAnsi="ArialMT" w:cs="ArialMT"/>
          <w:sz w:val="20"/>
          <w:szCs w:val="20"/>
        </w:rPr>
      </w:pPr>
      <w:r w:rsidRPr="00DD3DD0">
        <w:rPr>
          <w:rFonts w:ascii="ArialMT" w:hAnsi="ArialMT" w:cs="ArialMT"/>
          <w:sz w:val="20"/>
          <w:szCs w:val="20"/>
        </w:rPr>
        <w:t>6. La compra de edificios que vayan a ser derribados. Si la compra de un edificio es objeto de ayuda, el valor del terreno construido, y el del que rodea el edificio, valorado por técnico competente, no se considera subvencionable.</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DD3DD0" w:rsidRDefault="00FE4284" w:rsidP="00FE4284">
      <w:pPr>
        <w:autoSpaceDE w:val="0"/>
        <w:autoSpaceDN w:val="0"/>
        <w:adjustRightInd w:val="0"/>
        <w:spacing w:after="0" w:line="240" w:lineRule="auto"/>
        <w:jc w:val="both"/>
        <w:rPr>
          <w:rFonts w:ascii="ArialMT" w:hAnsi="ArialMT" w:cs="ArialMT"/>
          <w:sz w:val="20"/>
          <w:szCs w:val="20"/>
        </w:rPr>
      </w:pPr>
      <w:r w:rsidRPr="00DD3DD0">
        <w:rPr>
          <w:rFonts w:ascii="ArialMT" w:hAnsi="ArialMT" w:cs="ArialMT"/>
          <w:sz w:val="20"/>
          <w:szCs w:val="20"/>
        </w:rPr>
        <w:t>7. La compra de edificios o locales si los mismos han sido subvencionados en los últimos diez años. Para ello se adjuntará declaración de las subvenciones recibidas p</w:t>
      </w:r>
      <w:r>
        <w:rPr>
          <w:rFonts w:ascii="ArialMT" w:hAnsi="ArialMT" w:cs="ArialMT"/>
          <w:sz w:val="20"/>
          <w:szCs w:val="20"/>
        </w:rPr>
        <w:t>ara</w:t>
      </w:r>
      <w:r w:rsidRPr="00DD3DD0">
        <w:rPr>
          <w:rFonts w:ascii="ArialMT" w:hAnsi="ArialMT" w:cs="ArialMT"/>
          <w:sz w:val="20"/>
          <w:szCs w:val="20"/>
        </w:rPr>
        <w:t xml:space="preserve"> el edificio o el local durante los últimos diez años. Tampoco serán subvencionables las inversiones en reformas de locales que hubieran sido subvencionados anteriormente por las administraciones públicas y no hayan transcurrido cinco años. En ambos casos, el inicio del cómputo de estos plazos comenzará a partir de la fecha más tardía entre las de justificación de esa subvención ante la administración competente o el cobro de dicha ayuda.</w:t>
      </w:r>
    </w:p>
    <w:p w:rsidR="00FE4284" w:rsidRDefault="00FE4284" w:rsidP="00FE4284">
      <w:pPr>
        <w:autoSpaceDE w:val="0"/>
        <w:autoSpaceDN w:val="0"/>
        <w:adjustRightInd w:val="0"/>
        <w:spacing w:after="0" w:line="240" w:lineRule="auto"/>
        <w:jc w:val="both"/>
        <w:rPr>
          <w:rFonts w:ascii="ArialMT" w:hAnsi="ArialMT" w:cs="ArialMT"/>
          <w:sz w:val="20"/>
          <w:szCs w:val="20"/>
        </w:rPr>
      </w:pPr>
      <w:r w:rsidRPr="00052E55">
        <w:rPr>
          <w:rFonts w:ascii="ArialMT" w:hAnsi="ArialMT" w:cs="ArialMT"/>
          <w:sz w:val="20"/>
          <w:szCs w:val="20"/>
        </w:rPr>
        <w:t>En todo caso, en el anexo V solicitud de ayuda. de la presente orden se consignarán los datos</w:t>
      </w:r>
      <w:r>
        <w:rPr>
          <w:rFonts w:ascii="ArialMT" w:hAnsi="ArialMT" w:cs="ArialMT"/>
          <w:sz w:val="20"/>
          <w:szCs w:val="20"/>
        </w:rPr>
        <w:t xml:space="preserve"> de las ayudas recibidas.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DD3DD0" w:rsidRDefault="00FE4284" w:rsidP="00FE4284">
      <w:pPr>
        <w:autoSpaceDE w:val="0"/>
        <w:autoSpaceDN w:val="0"/>
        <w:adjustRightInd w:val="0"/>
        <w:spacing w:after="0" w:line="240" w:lineRule="auto"/>
        <w:jc w:val="both"/>
        <w:rPr>
          <w:rFonts w:ascii="ArialMT" w:hAnsi="ArialMT" w:cs="ArialMT"/>
          <w:sz w:val="20"/>
          <w:szCs w:val="20"/>
        </w:rPr>
      </w:pPr>
      <w:r w:rsidRPr="00DD3DD0">
        <w:rPr>
          <w:rFonts w:ascii="ArialMT" w:hAnsi="ArialMT" w:cs="ArialMT"/>
          <w:sz w:val="20"/>
          <w:szCs w:val="20"/>
        </w:rPr>
        <w:t>8. Tr</w:t>
      </w:r>
      <w:r>
        <w:rPr>
          <w:rFonts w:ascii="ArialMT" w:hAnsi="ArialMT" w:cs="ArialMT"/>
          <w:sz w:val="20"/>
          <w:szCs w:val="20"/>
        </w:rPr>
        <w:t>abajos o inversiones empezados o</w:t>
      </w:r>
      <w:r w:rsidRPr="00DD3DD0">
        <w:rPr>
          <w:rFonts w:ascii="ArialMT" w:hAnsi="ArialMT" w:cs="ArialMT"/>
          <w:sz w:val="20"/>
          <w:szCs w:val="20"/>
        </w:rPr>
        <w:t xml:space="preserve"> realizados, con anterioridad a la fecha de solicitud de ayuda</w:t>
      </w:r>
      <w:r>
        <w:rPr>
          <w:rFonts w:ascii="ArialMT" w:hAnsi="ArialMT" w:cs="ArialMT"/>
          <w:sz w:val="20"/>
          <w:szCs w:val="20"/>
        </w:rPr>
        <w:t xml:space="preserve"> o la visita de comprobación del no inicio de actuaciones</w:t>
      </w:r>
      <w:r w:rsidRPr="00DD3DD0">
        <w:rPr>
          <w:rFonts w:ascii="ArialMT" w:hAnsi="ArialMT" w:cs="ArialMT"/>
          <w:sz w:val="20"/>
          <w:szCs w:val="20"/>
        </w:rPr>
        <w:t>, salvo los siguientes gastos siempre que estén realizados dentro del año anterior a la fecha de solicitud de ayuda:</w:t>
      </w:r>
    </w:p>
    <w:p w:rsidR="00FE4284" w:rsidRPr="00DD3DD0" w:rsidRDefault="00FE4284" w:rsidP="00FE4284">
      <w:pPr>
        <w:autoSpaceDE w:val="0"/>
        <w:autoSpaceDN w:val="0"/>
        <w:adjustRightInd w:val="0"/>
        <w:spacing w:after="0" w:line="240" w:lineRule="auto"/>
        <w:ind w:left="708"/>
        <w:jc w:val="both"/>
        <w:rPr>
          <w:rFonts w:ascii="ArialMT" w:hAnsi="ArialMT" w:cs="ArialMT"/>
          <w:sz w:val="20"/>
          <w:szCs w:val="20"/>
        </w:rPr>
      </w:pPr>
      <w:r w:rsidRPr="00DD3DD0">
        <w:rPr>
          <w:rFonts w:ascii="ArialMT" w:hAnsi="ArialMT" w:cs="ArialMT"/>
          <w:sz w:val="20"/>
          <w:szCs w:val="20"/>
        </w:rPr>
        <w:t>a) honorarios técnicos, estudios de viabilidad económica, técnica, geotectónica, de mercado, evaluación de impacto ambiental y similares, la adquisición de patentes y licencias, y los permisos y seguros de construcción.</w:t>
      </w:r>
    </w:p>
    <w:p w:rsidR="00FE4284" w:rsidRPr="00DD3DD0" w:rsidRDefault="00FE4284" w:rsidP="00FE4284">
      <w:pPr>
        <w:autoSpaceDE w:val="0"/>
        <w:autoSpaceDN w:val="0"/>
        <w:adjustRightInd w:val="0"/>
        <w:spacing w:after="0" w:line="240" w:lineRule="auto"/>
        <w:ind w:left="708"/>
        <w:jc w:val="both"/>
        <w:rPr>
          <w:rFonts w:ascii="ArialMT" w:hAnsi="ArialMT" w:cs="ArialMT"/>
          <w:sz w:val="20"/>
          <w:szCs w:val="20"/>
        </w:rPr>
      </w:pPr>
      <w:r w:rsidRPr="00DD3DD0">
        <w:rPr>
          <w:rFonts w:ascii="ArialMT" w:hAnsi="ArialMT" w:cs="ArialMT"/>
          <w:sz w:val="20"/>
          <w:szCs w:val="20"/>
        </w:rPr>
        <w:t>b) acopio de materiales de construcción y encargo o compra de maquinaria incluso el suministro, pero no el montaje, instalación y prueba.</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9. La compra de material amortizable normalmente en un año (botellas, embalajes, material fungible de laboratorio y similares).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DD3DD0" w:rsidRDefault="00FE4284" w:rsidP="00FE4284">
      <w:pPr>
        <w:autoSpaceDE w:val="0"/>
        <w:autoSpaceDN w:val="0"/>
        <w:adjustRightInd w:val="0"/>
        <w:spacing w:after="0" w:line="240" w:lineRule="auto"/>
        <w:jc w:val="both"/>
        <w:rPr>
          <w:rFonts w:ascii="ArialMT" w:hAnsi="ArialMT" w:cs="ArialMT"/>
          <w:sz w:val="20"/>
          <w:szCs w:val="20"/>
        </w:rPr>
      </w:pPr>
      <w:r w:rsidRPr="00DD3DD0">
        <w:rPr>
          <w:rFonts w:ascii="ArialMT" w:hAnsi="ArialMT" w:cs="ArialMT"/>
          <w:sz w:val="20"/>
          <w:szCs w:val="20"/>
        </w:rPr>
        <w:t>10. Obras de ornamentación y equipos de recreo</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11. Las tarimas, cajones tarima y cajas de campo.</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12. La compra e instalación de maquinaria y equipos de segunda mano.</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13. La compra de barricas, toneles y tinos de madera de cualquier capacidad</w:t>
      </w:r>
      <w:r>
        <w:rPr>
          <w:rFonts w:ascii="ArialMT" w:hAnsi="ArialMT" w:cs="ArialMT"/>
          <w:sz w:val="20"/>
          <w:szCs w:val="20"/>
        </w:rPr>
        <w:t>,</w:t>
      </w:r>
      <w:r w:rsidRPr="005B58F0">
        <w:rPr>
          <w:rFonts w:ascii="ArialMT" w:hAnsi="ArialMT" w:cs="ArialMT"/>
          <w:sz w:val="20"/>
          <w:szCs w:val="20"/>
        </w:rPr>
        <w:t xml:space="preserve"> excepto cuando </w:t>
      </w:r>
      <w:r>
        <w:rPr>
          <w:rFonts w:ascii="ArialMT" w:hAnsi="ArialMT" w:cs="ArialMT"/>
          <w:sz w:val="20"/>
          <w:szCs w:val="20"/>
        </w:rPr>
        <w:t xml:space="preserve">su adquisición </w:t>
      </w:r>
      <w:r w:rsidRPr="005B58F0">
        <w:rPr>
          <w:rFonts w:ascii="ArialMT" w:hAnsi="ArialMT" w:cs="ArialMT"/>
          <w:sz w:val="20"/>
          <w:szCs w:val="20"/>
        </w:rPr>
        <w:t xml:space="preserve">derive de un aumento de la capacidad productiva de la bodega, sean de nueva </w:t>
      </w:r>
      <w:r w:rsidRPr="00052E55">
        <w:rPr>
          <w:rFonts w:ascii="ArialMT" w:hAnsi="ArialMT" w:cs="ArialMT"/>
          <w:sz w:val="20"/>
          <w:szCs w:val="20"/>
        </w:rPr>
        <w:t xml:space="preserve">adquisición y tengan una vida útil igual o superior a la durabilidad prevista en el artículo </w:t>
      </w:r>
      <w:r w:rsidRPr="00D470B3">
        <w:rPr>
          <w:rFonts w:ascii="ArialMT" w:hAnsi="ArialMT" w:cs="ArialMT"/>
          <w:sz w:val="20"/>
          <w:szCs w:val="20"/>
        </w:rPr>
        <w:t>5 apartado 1. d).</w:t>
      </w:r>
      <w:r w:rsidRPr="00052E55">
        <w:rPr>
          <w:rFonts w:ascii="ArialMT" w:hAnsi="ArialMT" w:cs="ArialMT"/>
          <w:sz w:val="20"/>
          <w:szCs w:val="20"/>
        </w:rPr>
        <w:t xml:space="preserve"> Además, para que estos elementos puedan ser subvencionados, se deberán</w:t>
      </w:r>
      <w:r w:rsidRPr="005B58F0">
        <w:rPr>
          <w:rFonts w:ascii="ArialMT" w:hAnsi="ArialMT" w:cs="ArialMT"/>
          <w:sz w:val="20"/>
          <w:szCs w:val="20"/>
        </w:rPr>
        <w:t xml:space="preserve"> cumplir simultáneamente las siguientes condiciones:</w:t>
      </w:r>
    </w:p>
    <w:p w:rsidR="00FE4284" w:rsidRPr="005B58F0" w:rsidRDefault="00FE4284" w:rsidP="00FE4284">
      <w:pPr>
        <w:autoSpaceDE w:val="0"/>
        <w:autoSpaceDN w:val="0"/>
        <w:adjustRightInd w:val="0"/>
        <w:spacing w:after="0" w:line="240" w:lineRule="auto"/>
        <w:ind w:left="708"/>
        <w:jc w:val="both"/>
        <w:rPr>
          <w:rFonts w:ascii="ArialMT" w:hAnsi="ArialMT" w:cs="ArialMT"/>
          <w:sz w:val="20"/>
          <w:szCs w:val="20"/>
        </w:rPr>
      </w:pPr>
      <w:r w:rsidRPr="005B58F0">
        <w:rPr>
          <w:rFonts w:ascii="ArialMT" w:hAnsi="ArialMT" w:cs="ArialMT"/>
          <w:sz w:val="20"/>
          <w:szCs w:val="20"/>
        </w:rPr>
        <w:t>a) Cada uno de los elementos objeto de ayuda deberá contar con un código</w:t>
      </w:r>
      <w:r>
        <w:rPr>
          <w:rFonts w:ascii="ArialMT" w:hAnsi="ArialMT" w:cs="ArialMT"/>
          <w:sz w:val="20"/>
          <w:szCs w:val="20"/>
        </w:rPr>
        <w:t xml:space="preserve"> identificativo compuesto por el número del expediente asignado por el órgano gestor de la solicitud de </w:t>
      </w:r>
      <w:r>
        <w:rPr>
          <w:rFonts w:ascii="ArialMT" w:hAnsi="ArialMT" w:cs="ArialMT"/>
          <w:sz w:val="20"/>
          <w:szCs w:val="20"/>
        </w:rPr>
        <w:lastRenderedPageBreak/>
        <w:t>ayuda seguido de un número correlativo de 4 cifras.</w:t>
      </w:r>
      <w:r w:rsidRPr="005B58F0">
        <w:rPr>
          <w:rFonts w:ascii="ArialMT" w:hAnsi="ArialMT" w:cs="ArialMT"/>
          <w:sz w:val="20"/>
          <w:szCs w:val="20"/>
        </w:rPr>
        <w:t xml:space="preserve"> Este código deberá estar marcado de forma indeleble y </w:t>
      </w:r>
      <w:r>
        <w:rPr>
          <w:rFonts w:ascii="ArialMT" w:hAnsi="ArialMT" w:cs="ArialMT"/>
          <w:sz w:val="20"/>
          <w:szCs w:val="20"/>
        </w:rPr>
        <w:t xml:space="preserve">será </w:t>
      </w:r>
      <w:r w:rsidRPr="005B58F0">
        <w:rPr>
          <w:rFonts w:ascii="ArialMT" w:hAnsi="ArialMT" w:cs="ArialMT"/>
          <w:sz w:val="20"/>
          <w:szCs w:val="20"/>
        </w:rPr>
        <w:t>fácilmente accesible a los controladores de la subvención.</w:t>
      </w:r>
    </w:p>
    <w:p w:rsidR="00FE4284" w:rsidRPr="005B58F0" w:rsidRDefault="00FE4284" w:rsidP="00FE4284">
      <w:pPr>
        <w:autoSpaceDE w:val="0"/>
        <w:autoSpaceDN w:val="0"/>
        <w:adjustRightInd w:val="0"/>
        <w:spacing w:after="0" w:line="240" w:lineRule="auto"/>
        <w:ind w:left="708"/>
        <w:jc w:val="both"/>
        <w:rPr>
          <w:rFonts w:ascii="ArialMT" w:hAnsi="ArialMT" w:cs="ArialMT"/>
          <w:sz w:val="20"/>
          <w:szCs w:val="20"/>
        </w:rPr>
      </w:pPr>
      <w:r w:rsidRPr="005B58F0">
        <w:rPr>
          <w:rFonts w:ascii="ArialMT" w:hAnsi="ArialMT" w:cs="ArialMT"/>
          <w:sz w:val="20"/>
          <w:szCs w:val="20"/>
        </w:rPr>
        <w:t>b) A lo largo del período de durabilidad, estos elementos no podrán destinarse al almacenamiento de productos distintos de los productos vitivinícolas, ni almacenarse en espacios distintos de los dedicados a elaboración o crianza.</w:t>
      </w:r>
    </w:p>
    <w:p w:rsidR="00FE4284" w:rsidRDefault="00FE4284" w:rsidP="00FE4284">
      <w:pPr>
        <w:autoSpaceDE w:val="0"/>
        <w:autoSpaceDN w:val="0"/>
        <w:adjustRightInd w:val="0"/>
        <w:spacing w:after="0" w:line="240" w:lineRule="auto"/>
        <w:ind w:left="708"/>
        <w:jc w:val="both"/>
        <w:rPr>
          <w:rFonts w:ascii="ArialMT" w:hAnsi="ArialMT" w:cs="ArialMT"/>
          <w:sz w:val="20"/>
          <w:szCs w:val="20"/>
        </w:rPr>
      </w:pPr>
      <w:r w:rsidRPr="005B58F0">
        <w:rPr>
          <w:rFonts w:ascii="ArialMT" w:hAnsi="ArialMT" w:cs="ArialMT"/>
          <w:sz w:val="20"/>
          <w:szCs w:val="20"/>
        </w:rPr>
        <w:t xml:space="preserve">c) Si, a fecha de presentación de la solicitud de ayuda, </w:t>
      </w:r>
      <w:r>
        <w:rPr>
          <w:rFonts w:ascii="ArialMT" w:hAnsi="ArialMT" w:cs="ArialMT"/>
          <w:sz w:val="20"/>
          <w:szCs w:val="20"/>
        </w:rPr>
        <w:t xml:space="preserve">ya existieran en el establecimiento barricas, toneles o tinos de madera, </w:t>
      </w:r>
      <w:r w:rsidRPr="005B58F0">
        <w:rPr>
          <w:rFonts w:ascii="ArialMT" w:hAnsi="ArialMT" w:cs="ArialMT"/>
          <w:sz w:val="20"/>
          <w:szCs w:val="20"/>
        </w:rPr>
        <w:t>dichos elemen</w:t>
      </w:r>
      <w:r>
        <w:rPr>
          <w:rFonts w:ascii="ArialMT" w:hAnsi="ArialMT" w:cs="ArialMT"/>
          <w:sz w:val="20"/>
          <w:szCs w:val="20"/>
        </w:rPr>
        <w:t xml:space="preserve">tos deberán ser inventariados, indicándose </w:t>
      </w:r>
      <w:r w:rsidRPr="005B58F0">
        <w:rPr>
          <w:rFonts w:ascii="ArialMT" w:hAnsi="ArialMT" w:cs="ArialMT"/>
          <w:sz w:val="20"/>
          <w:szCs w:val="20"/>
        </w:rPr>
        <w:t>número y capacidad</w:t>
      </w:r>
      <w:r>
        <w:rPr>
          <w:rFonts w:ascii="ArialMT" w:hAnsi="ArialMT" w:cs="ArialMT"/>
          <w:sz w:val="20"/>
          <w:szCs w:val="20"/>
        </w:rPr>
        <w:t xml:space="preserve"> volumétrica</w:t>
      </w:r>
      <w:r w:rsidRPr="005B58F0">
        <w:rPr>
          <w:rFonts w:ascii="ArialMT" w:hAnsi="ArialMT" w:cs="ArialMT"/>
          <w:sz w:val="20"/>
          <w:szCs w:val="20"/>
        </w:rPr>
        <w:t xml:space="preserve"> total </w:t>
      </w:r>
      <w:r>
        <w:rPr>
          <w:rFonts w:ascii="ArialMT" w:hAnsi="ArialMT" w:cs="ArialMT"/>
          <w:sz w:val="20"/>
          <w:szCs w:val="20"/>
        </w:rPr>
        <w:t xml:space="preserve">de estos elementos existentes en la industria </w:t>
      </w:r>
      <w:r w:rsidRPr="005B58F0">
        <w:rPr>
          <w:rFonts w:ascii="ArialMT" w:hAnsi="ArialMT" w:cs="ArialMT"/>
          <w:sz w:val="20"/>
          <w:szCs w:val="20"/>
        </w:rPr>
        <w:t>a fecha de presentación de la solicitud</w:t>
      </w:r>
      <w:r>
        <w:rPr>
          <w:rFonts w:ascii="ArialMT" w:hAnsi="ArialMT" w:cs="ArialMT"/>
          <w:sz w:val="20"/>
          <w:szCs w:val="20"/>
        </w:rPr>
        <w:t xml:space="preserve"> de ayuda.</w:t>
      </w:r>
    </w:p>
    <w:p w:rsidR="00FE4284" w:rsidRPr="005B58F0" w:rsidRDefault="00FE4284" w:rsidP="00FE4284">
      <w:pPr>
        <w:autoSpaceDE w:val="0"/>
        <w:autoSpaceDN w:val="0"/>
        <w:adjustRightInd w:val="0"/>
        <w:spacing w:after="0" w:line="240" w:lineRule="auto"/>
        <w:ind w:left="708"/>
        <w:jc w:val="both"/>
        <w:rPr>
          <w:rFonts w:ascii="ArialMT" w:hAnsi="ArialMT" w:cs="ArialMT"/>
          <w:sz w:val="20"/>
          <w:szCs w:val="20"/>
        </w:rPr>
      </w:pPr>
      <w:r w:rsidRPr="00A77BF1">
        <w:rPr>
          <w:rFonts w:ascii="ArialMT" w:hAnsi="ArialMT" w:cs="ArialMT"/>
          <w:sz w:val="20"/>
          <w:szCs w:val="20"/>
        </w:rPr>
        <w:t>d) En todo caso, a lo largo del período de durabilidad, el número neto de elementos en uso productivo de esta naturaleza propiedad del solicitante en el establecimiento, independientemente de que se encuentren subvencionados, no podrá ser objeto de disminución.</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 xml:space="preserve">14. Los gastos relativos al traslado de maquinaria ya existente hasta el local o emplazamiento en el que se va a realizar </w:t>
      </w:r>
      <w:r>
        <w:rPr>
          <w:rFonts w:ascii="ArialMT" w:hAnsi="ArialMT" w:cs="ArialMT"/>
          <w:sz w:val="20"/>
          <w:szCs w:val="20"/>
        </w:rPr>
        <w:t>el proyecto</w:t>
      </w:r>
      <w:r w:rsidRPr="00394CCC">
        <w:rPr>
          <w:rFonts w:ascii="ArialMT" w:hAnsi="ArialMT" w:cs="ArialMT"/>
          <w:sz w:val="20"/>
          <w:szCs w:val="20"/>
        </w:rPr>
        <w:t xml:space="preserve"> de inversión.</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394CCC" w:rsidRDefault="00FE4284" w:rsidP="00FE4284">
      <w:pPr>
        <w:autoSpaceDE w:val="0"/>
        <w:autoSpaceDN w:val="0"/>
        <w:adjustRightInd w:val="0"/>
        <w:spacing w:after="0" w:line="240" w:lineRule="auto"/>
        <w:jc w:val="both"/>
        <w:rPr>
          <w:rFonts w:ascii="ArialMT" w:hAnsi="ArialMT" w:cs="ArialMT"/>
          <w:sz w:val="20"/>
          <w:szCs w:val="20"/>
        </w:rPr>
      </w:pPr>
      <w:r w:rsidRPr="00394CCC">
        <w:rPr>
          <w:rFonts w:ascii="ArialMT" w:hAnsi="ArialMT" w:cs="ArialMT"/>
          <w:sz w:val="20"/>
          <w:szCs w:val="20"/>
        </w:rPr>
        <w:t>15. Las reparaciones y obras de mantenimiento. No tienen la consideración de reparaciones las operaciones realizadas sobre maquinaria instalada para ampliar su capacidad o mejorar sus prestaciones.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16. Los debidos a la aplicación del Impuesto sobre el Valor Añadido (IVA)</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Default="00FE4284" w:rsidP="00FE4284">
      <w:pPr>
        <w:autoSpaceDE w:val="0"/>
        <w:autoSpaceDN w:val="0"/>
        <w:adjustRightInd w:val="0"/>
        <w:spacing w:after="0" w:line="240" w:lineRule="auto"/>
        <w:jc w:val="both"/>
        <w:rPr>
          <w:rFonts w:ascii="ArialMT" w:hAnsi="ArialMT" w:cs="ArialMT"/>
          <w:sz w:val="20"/>
          <w:szCs w:val="20"/>
        </w:rPr>
      </w:pPr>
      <w:r w:rsidRPr="00B44454">
        <w:rPr>
          <w:rFonts w:ascii="ArialMT" w:hAnsi="ArialMT" w:cs="ArialMT"/>
          <w:sz w:val="20"/>
          <w:szCs w:val="20"/>
        </w:rPr>
        <w:t xml:space="preserve">17. Las tasas, las contribuciones u otros impuestos. </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18. Las edificaciones destinadas a vivienda</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19. Vehículos relativos a transporte exterior y vehículos que requieran de matriculación, incluidos remolques y carrozados especiales.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20. Los gastos de alquiler de equipos de producción y las inversiones financiadas mediante arrendamiento financiero.</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21. La mano de obra propia ni los materiales de igual procedencia. En este sentido no serán subvencionables los honorarios de proyecto, dirección de obra o asesoramiento técnico cuando en el proveedor de dichos servicios concurra alguna de las siguientes circunstancias:</w:t>
      </w:r>
    </w:p>
    <w:p w:rsidR="00FE4284" w:rsidRPr="005B58F0" w:rsidRDefault="00FE4284" w:rsidP="00FE4284">
      <w:pPr>
        <w:autoSpaceDE w:val="0"/>
        <w:autoSpaceDN w:val="0"/>
        <w:adjustRightInd w:val="0"/>
        <w:spacing w:after="0" w:line="240" w:lineRule="auto"/>
        <w:ind w:firstLine="708"/>
        <w:jc w:val="both"/>
        <w:rPr>
          <w:rFonts w:ascii="ArialMT" w:hAnsi="ArialMT" w:cs="ArialMT"/>
          <w:sz w:val="20"/>
          <w:szCs w:val="20"/>
        </w:rPr>
      </w:pPr>
      <w:r>
        <w:rPr>
          <w:rFonts w:ascii="ArialMT" w:hAnsi="ArialMT" w:cs="ArialMT"/>
          <w:sz w:val="20"/>
          <w:szCs w:val="20"/>
        </w:rPr>
        <w:t>a)</w:t>
      </w:r>
      <w:r w:rsidRPr="005B58F0">
        <w:rPr>
          <w:rFonts w:ascii="ArialMT" w:hAnsi="ArialMT" w:cs="ArialMT"/>
          <w:sz w:val="20"/>
          <w:szCs w:val="20"/>
        </w:rPr>
        <w:t xml:space="preserve"> Que esté vinculado laboralmente con la empresa solicitante o beneficiaria de la ayuda.</w:t>
      </w:r>
    </w:p>
    <w:p w:rsidR="00FE4284" w:rsidRPr="005B58F0" w:rsidRDefault="00FE4284" w:rsidP="00FE4284">
      <w:pPr>
        <w:autoSpaceDE w:val="0"/>
        <w:autoSpaceDN w:val="0"/>
        <w:adjustRightInd w:val="0"/>
        <w:spacing w:after="0" w:line="240" w:lineRule="auto"/>
        <w:ind w:firstLine="708"/>
        <w:jc w:val="both"/>
        <w:rPr>
          <w:rFonts w:ascii="ArialMT" w:hAnsi="ArialMT" w:cs="ArialMT"/>
          <w:sz w:val="20"/>
          <w:szCs w:val="20"/>
        </w:rPr>
      </w:pPr>
      <w:r w:rsidRPr="005B58F0">
        <w:rPr>
          <w:rFonts w:ascii="ArialMT" w:hAnsi="ArialMT" w:cs="ArialMT"/>
          <w:sz w:val="20"/>
          <w:szCs w:val="20"/>
        </w:rPr>
        <w:t>b</w:t>
      </w:r>
      <w:r>
        <w:rPr>
          <w:rFonts w:ascii="ArialMT" w:hAnsi="ArialMT" w:cs="ArialMT"/>
          <w:sz w:val="20"/>
          <w:szCs w:val="20"/>
        </w:rPr>
        <w:t>)</w:t>
      </w:r>
      <w:r w:rsidRPr="005B58F0">
        <w:rPr>
          <w:rFonts w:ascii="ArialMT" w:hAnsi="ArialMT" w:cs="ArialMT"/>
          <w:sz w:val="20"/>
          <w:szCs w:val="20"/>
        </w:rPr>
        <w:t xml:space="preserve"> Que tenga la condición de socio de la empresa solicitante o beneficiaria de la ayuda.</w:t>
      </w:r>
    </w:p>
    <w:p w:rsidR="00FE4284" w:rsidRPr="005B58F0" w:rsidRDefault="00FE4284" w:rsidP="00FE4284">
      <w:pPr>
        <w:autoSpaceDE w:val="0"/>
        <w:autoSpaceDN w:val="0"/>
        <w:adjustRightInd w:val="0"/>
        <w:spacing w:after="0" w:line="240" w:lineRule="auto"/>
        <w:ind w:left="708"/>
        <w:jc w:val="both"/>
        <w:rPr>
          <w:rFonts w:ascii="ArialMT" w:hAnsi="ArialMT" w:cs="ArialMT"/>
          <w:sz w:val="20"/>
          <w:szCs w:val="20"/>
        </w:rPr>
      </w:pPr>
      <w:r>
        <w:rPr>
          <w:rFonts w:ascii="ArialMT" w:hAnsi="ArialMT" w:cs="ArialMT"/>
          <w:sz w:val="20"/>
          <w:szCs w:val="20"/>
        </w:rPr>
        <w:t xml:space="preserve">c) </w:t>
      </w:r>
      <w:r w:rsidRPr="005B58F0">
        <w:rPr>
          <w:rFonts w:ascii="ArialMT" w:hAnsi="ArialMT" w:cs="ArialMT"/>
          <w:sz w:val="20"/>
          <w:szCs w:val="20"/>
        </w:rPr>
        <w:t>Que ostente facultades de administración y/o representación sobre la empresa solicitante o beneficiaria de la ayuda.</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22. Los gastos por transacciones financieras, intereses deudores o de demora, las comisiones por cambio de divisas y las pérdidas, así como otros gastos puramente financieros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23. Las multas, sanciones financieras y gastos de procedimientos legales</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24. Rótulos o indicadores en vías públicas u otros espacios públicos o privados que no se encuentren en el establecimiento, tienda, instalación, finca o recinto del solicitante.</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Default="00FE4284" w:rsidP="00FE428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25. Inversiones en </w:t>
      </w:r>
      <w:proofErr w:type="spellStart"/>
      <w:r>
        <w:rPr>
          <w:rFonts w:ascii="ArialMT" w:hAnsi="ArialMT" w:cs="ArialMT"/>
          <w:sz w:val="20"/>
          <w:szCs w:val="20"/>
        </w:rPr>
        <w:t>enoturismo</w:t>
      </w:r>
      <w:proofErr w:type="spellEnd"/>
      <w:r>
        <w:rPr>
          <w:rFonts w:ascii="ArialMT" w:hAnsi="ArialMT" w:cs="ArialMT"/>
          <w:sz w:val="20"/>
          <w:szCs w:val="20"/>
        </w:rPr>
        <w:t>.</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B44454" w:rsidRDefault="00FE4284" w:rsidP="00FE4284">
      <w:pPr>
        <w:autoSpaceDE w:val="0"/>
        <w:autoSpaceDN w:val="0"/>
        <w:adjustRightInd w:val="0"/>
        <w:spacing w:after="0" w:line="240" w:lineRule="auto"/>
        <w:jc w:val="both"/>
        <w:rPr>
          <w:rFonts w:ascii="ArialMT" w:hAnsi="ArialMT" w:cs="ArialMT"/>
          <w:sz w:val="20"/>
          <w:szCs w:val="20"/>
        </w:rPr>
      </w:pPr>
      <w:r w:rsidRPr="00B44454">
        <w:rPr>
          <w:rFonts w:ascii="ArialMT" w:hAnsi="ArialMT" w:cs="ArialMT"/>
          <w:sz w:val="20"/>
          <w:szCs w:val="20"/>
        </w:rPr>
        <w:t>26. Gastos de asesoramiento o elaboración de la solicitud de ayuda</w:t>
      </w:r>
      <w:r>
        <w:rPr>
          <w:rFonts w:ascii="ArialMT" w:hAnsi="ArialMT" w:cs="ArialMT"/>
          <w:sz w:val="20"/>
          <w:szCs w:val="20"/>
        </w:rPr>
        <w:t xml:space="preserve">. </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lastRenderedPageBreak/>
        <w:t>27. Compra de edificios o instalaciones que estén alquilados o en otro régimen de tenencia por el solicitante a la fecha de la solicitud.</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28. La adquisición de mobiliario, salvo los siguientes:</w:t>
      </w:r>
    </w:p>
    <w:p w:rsidR="00FE4284" w:rsidRPr="005B58F0" w:rsidRDefault="00FE4284" w:rsidP="00FE4284">
      <w:pPr>
        <w:autoSpaceDE w:val="0"/>
        <w:autoSpaceDN w:val="0"/>
        <w:adjustRightInd w:val="0"/>
        <w:spacing w:after="0" w:line="240" w:lineRule="auto"/>
        <w:ind w:firstLine="708"/>
        <w:jc w:val="both"/>
        <w:rPr>
          <w:rFonts w:ascii="ArialMT" w:hAnsi="ArialMT" w:cs="ArialMT"/>
          <w:sz w:val="20"/>
          <w:szCs w:val="20"/>
        </w:rPr>
      </w:pPr>
      <w:r w:rsidRPr="005B58F0">
        <w:rPr>
          <w:rFonts w:ascii="ArialMT" w:hAnsi="ArialMT" w:cs="ArialMT"/>
          <w:sz w:val="20"/>
          <w:szCs w:val="20"/>
        </w:rPr>
        <w:t>a</w:t>
      </w:r>
      <w:r>
        <w:rPr>
          <w:rFonts w:ascii="ArialMT" w:hAnsi="ArialMT" w:cs="ArialMT"/>
          <w:sz w:val="20"/>
          <w:szCs w:val="20"/>
        </w:rPr>
        <w:t>)</w:t>
      </w:r>
      <w:r w:rsidRPr="005B58F0">
        <w:rPr>
          <w:rFonts w:ascii="ArialMT" w:hAnsi="ArialMT" w:cs="ArialMT"/>
          <w:sz w:val="20"/>
          <w:szCs w:val="20"/>
        </w:rPr>
        <w:t xml:space="preserve"> El específico para laboratorios.</w:t>
      </w:r>
    </w:p>
    <w:p w:rsidR="00FE4284" w:rsidRPr="005B58F0" w:rsidRDefault="00FE4284" w:rsidP="00FE4284">
      <w:pPr>
        <w:autoSpaceDE w:val="0"/>
        <w:autoSpaceDN w:val="0"/>
        <w:adjustRightInd w:val="0"/>
        <w:spacing w:after="0" w:line="240" w:lineRule="auto"/>
        <w:ind w:left="708"/>
        <w:jc w:val="both"/>
        <w:rPr>
          <w:rFonts w:ascii="ArialMT" w:hAnsi="ArialMT" w:cs="ArialMT"/>
          <w:sz w:val="20"/>
          <w:szCs w:val="20"/>
        </w:rPr>
      </w:pPr>
      <w:r w:rsidRPr="005B58F0">
        <w:rPr>
          <w:rFonts w:ascii="ArialMT" w:hAnsi="ArialMT" w:cs="ArialMT"/>
          <w:sz w:val="20"/>
          <w:szCs w:val="20"/>
        </w:rPr>
        <w:t>b</w:t>
      </w:r>
      <w:r>
        <w:rPr>
          <w:rFonts w:ascii="ArialMT" w:hAnsi="ArialMT" w:cs="ArialMT"/>
          <w:sz w:val="20"/>
          <w:szCs w:val="20"/>
        </w:rPr>
        <w:t>)</w:t>
      </w:r>
      <w:r w:rsidRPr="005B58F0">
        <w:rPr>
          <w:rFonts w:ascii="ArialMT" w:hAnsi="ArialMT" w:cs="ArialMT"/>
          <w:sz w:val="20"/>
          <w:szCs w:val="20"/>
        </w:rPr>
        <w:t xml:space="preserve"> El correspondiente a zonas de cata y exposición de productos, excepto cuando en ese establecimiento se desarrollen actividades de </w:t>
      </w:r>
      <w:proofErr w:type="spellStart"/>
      <w:r w:rsidRPr="005B58F0">
        <w:rPr>
          <w:rFonts w:ascii="ArialMT" w:hAnsi="ArialMT" w:cs="ArialMT"/>
          <w:sz w:val="20"/>
          <w:szCs w:val="20"/>
        </w:rPr>
        <w:t>enoturismo</w:t>
      </w:r>
      <w:proofErr w:type="spellEnd"/>
      <w:r w:rsidRPr="005B58F0">
        <w:rPr>
          <w:rFonts w:ascii="ArialMT" w:hAnsi="ArialMT" w:cs="ArialMT"/>
          <w:sz w:val="20"/>
          <w:szCs w:val="20"/>
        </w:rPr>
        <w:t>.</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Pr="005B58F0" w:rsidRDefault="00FE4284" w:rsidP="00FE4284">
      <w:pPr>
        <w:autoSpaceDE w:val="0"/>
        <w:autoSpaceDN w:val="0"/>
        <w:adjustRightInd w:val="0"/>
        <w:spacing w:after="0" w:line="240" w:lineRule="auto"/>
        <w:jc w:val="both"/>
        <w:rPr>
          <w:rFonts w:ascii="ArialMT" w:hAnsi="ArialMT" w:cs="ArialMT"/>
          <w:sz w:val="20"/>
          <w:szCs w:val="20"/>
        </w:rPr>
      </w:pPr>
      <w:r w:rsidRPr="005B58F0">
        <w:rPr>
          <w:rFonts w:ascii="ArialMT" w:hAnsi="ArialMT" w:cs="ArialMT"/>
          <w:sz w:val="20"/>
          <w:szCs w:val="20"/>
        </w:rPr>
        <w:t>29. Los gastos relativos a la promoción (estands, conferencias, folletos, catálogos, publicidad, etc.</w:t>
      </w:r>
    </w:p>
    <w:p w:rsidR="00FE4284" w:rsidRDefault="00FE4284" w:rsidP="00FE4284">
      <w:pPr>
        <w:autoSpaceDE w:val="0"/>
        <w:autoSpaceDN w:val="0"/>
        <w:adjustRightInd w:val="0"/>
        <w:spacing w:after="0" w:line="240" w:lineRule="auto"/>
        <w:jc w:val="both"/>
        <w:rPr>
          <w:rFonts w:ascii="ArialMT" w:hAnsi="ArialMT" w:cs="ArialMT"/>
          <w:sz w:val="20"/>
          <w:szCs w:val="20"/>
        </w:rPr>
      </w:pPr>
    </w:p>
    <w:p w:rsidR="00FE4284" w:rsidRDefault="00FE4284" w:rsidP="00FE4284">
      <w:pPr>
        <w:autoSpaceDE w:val="0"/>
        <w:autoSpaceDN w:val="0"/>
        <w:adjustRightInd w:val="0"/>
        <w:spacing w:after="0" w:line="240" w:lineRule="auto"/>
        <w:jc w:val="both"/>
        <w:rPr>
          <w:rFonts w:ascii="ArialMT" w:hAnsi="ArialMT" w:cs="ArialMT"/>
          <w:sz w:val="20"/>
          <w:szCs w:val="20"/>
        </w:rPr>
      </w:pPr>
      <w:r w:rsidRPr="00B44454">
        <w:rPr>
          <w:rFonts w:ascii="ArialMT" w:hAnsi="ArialMT" w:cs="ArialMT"/>
          <w:sz w:val="20"/>
          <w:szCs w:val="20"/>
        </w:rPr>
        <w:t>30. Los gastos pagados por el beneficiario en especie o en metálico.</w:t>
      </w:r>
    </w:p>
    <w:p w:rsidR="00FE4284" w:rsidRDefault="00FE4284" w:rsidP="00FE4284">
      <w:pPr>
        <w:autoSpaceDE w:val="0"/>
        <w:autoSpaceDN w:val="0"/>
        <w:adjustRightInd w:val="0"/>
        <w:spacing w:after="0" w:line="240" w:lineRule="auto"/>
        <w:jc w:val="both"/>
        <w:rPr>
          <w:rFonts w:ascii="ArialMT" w:hAnsi="ArialMT" w:cs="ArialMT"/>
          <w:dstrike/>
          <w:sz w:val="20"/>
          <w:szCs w:val="20"/>
        </w:rPr>
      </w:pPr>
    </w:p>
    <w:p w:rsidR="00FE4284" w:rsidRPr="00C870C9" w:rsidRDefault="00FE4284" w:rsidP="00FE4284">
      <w:pPr>
        <w:autoSpaceDE w:val="0"/>
        <w:autoSpaceDN w:val="0"/>
        <w:adjustRightInd w:val="0"/>
        <w:spacing w:after="0" w:line="240" w:lineRule="auto"/>
        <w:jc w:val="both"/>
        <w:rPr>
          <w:rFonts w:ascii="ArialMT" w:hAnsi="ArialMT" w:cs="ArialMT"/>
          <w:b/>
          <w:sz w:val="20"/>
          <w:szCs w:val="20"/>
        </w:rPr>
      </w:pPr>
      <w:r>
        <w:rPr>
          <w:rFonts w:ascii="ArialMT" w:hAnsi="ArialMT" w:cs="ArialMT"/>
          <w:sz w:val="20"/>
          <w:szCs w:val="20"/>
        </w:rPr>
        <w:t xml:space="preserve">31. Los gastos en inversiones cuando el vendedor de los activos fuera socio, partícipe o empresa vinculada con la adquirente, o se diera un supuesto análogo del que pudiera derivarse </w:t>
      </w:r>
      <w:proofErr w:type="spellStart"/>
      <w:r>
        <w:rPr>
          <w:rFonts w:ascii="ArialMT" w:hAnsi="ArialMT" w:cs="ArialMT"/>
          <w:sz w:val="20"/>
          <w:szCs w:val="20"/>
        </w:rPr>
        <w:t>autofacturación</w:t>
      </w:r>
      <w:proofErr w:type="spellEnd"/>
      <w:r>
        <w:rPr>
          <w:rFonts w:ascii="ArialMT" w:hAnsi="ArialMT" w:cs="ArialMT"/>
          <w:sz w:val="20"/>
          <w:szCs w:val="20"/>
        </w:rPr>
        <w:t>.</w:t>
      </w:r>
    </w:p>
    <w:p w:rsidR="009A5F3A" w:rsidRDefault="009A5F3A"/>
    <w:p w:rsidR="00FE4284" w:rsidRDefault="00FE4284"/>
    <w:p w:rsidR="00FE4284" w:rsidRDefault="00FE4284"/>
    <w:p w:rsidR="00FE4284" w:rsidRDefault="00FE4284"/>
    <w:sectPr w:rsidR="00FE428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30" w:rsidRDefault="00FD1430" w:rsidP="000A7032">
      <w:pPr>
        <w:spacing w:after="0" w:line="240" w:lineRule="auto"/>
      </w:pPr>
      <w:r>
        <w:separator/>
      </w:r>
    </w:p>
  </w:endnote>
  <w:endnote w:type="continuationSeparator" w:id="0">
    <w:p w:rsidR="00FD1430" w:rsidRDefault="00FD1430" w:rsidP="000A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2" w:rsidRDefault="000A70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2" w:rsidRDefault="000A703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2" w:rsidRDefault="000A70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30" w:rsidRDefault="00FD1430" w:rsidP="000A7032">
      <w:pPr>
        <w:spacing w:after="0" w:line="240" w:lineRule="auto"/>
      </w:pPr>
      <w:r>
        <w:separator/>
      </w:r>
    </w:p>
  </w:footnote>
  <w:footnote w:type="continuationSeparator" w:id="0">
    <w:p w:rsidR="00FD1430" w:rsidRDefault="00FD1430" w:rsidP="000A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2" w:rsidRDefault="000A70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1" w:type="dxa"/>
      <w:tblLook w:val="01E0" w:firstRow="1" w:lastRow="1" w:firstColumn="1" w:lastColumn="1" w:noHBand="0" w:noVBand="0"/>
    </w:tblPr>
    <w:tblGrid>
      <w:gridCol w:w="10561"/>
    </w:tblGrid>
    <w:tr w:rsidR="000A7032" w:rsidTr="001D3400">
      <w:trPr>
        <w:trHeight w:val="1625"/>
      </w:trPr>
      <w:tc>
        <w:tcPr>
          <w:tcW w:w="3318" w:type="dxa"/>
        </w:tcPr>
        <w:p w:rsidR="000A7032" w:rsidRDefault="000A7032" w:rsidP="001D3400">
          <w:pPr>
            <w:pStyle w:val="Encabezado"/>
            <w:tabs>
              <w:tab w:val="clear" w:pos="4252"/>
              <w:tab w:val="clear" w:pos="8504"/>
              <w:tab w:val="left" w:pos="3210"/>
            </w:tabs>
            <w:ind w:left="180"/>
          </w:pPr>
          <w:r>
            <w:rPr>
              <w:noProof/>
              <w:lang w:eastAsia="es-ES"/>
            </w:rPr>
            <w:drawing>
              <wp:inline distT="0" distB="0" distL="0" distR="0" wp14:anchorId="06C22F68" wp14:editId="62A15FB4">
                <wp:extent cx="1098550" cy="965200"/>
                <wp:effectExtent l="0" t="0" r="6350" b="635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965200"/>
                        </a:xfrm>
                        <a:prstGeom prst="rect">
                          <a:avLst/>
                        </a:prstGeom>
                        <a:noFill/>
                        <a:ln>
                          <a:noFill/>
                        </a:ln>
                      </pic:spPr>
                    </pic:pic>
                  </a:graphicData>
                </a:graphic>
              </wp:inline>
            </w:drawing>
          </w:r>
          <w:r>
            <w:tab/>
          </w:r>
          <w:r>
            <w:rPr>
              <w:noProof/>
              <w:lang w:eastAsia="es-ES"/>
            </w:rPr>
            <w:drawing>
              <wp:inline distT="0" distB="0" distL="0" distR="0" wp14:anchorId="63E15BB3" wp14:editId="5787BDAA">
                <wp:extent cx="1162050" cy="933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933450"/>
                        </a:xfrm>
                        <a:prstGeom prst="rect">
                          <a:avLst/>
                        </a:prstGeom>
                        <a:noFill/>
                      </pic:spPr>
                    </pic:pic>
                  </a:graphicData>
                </a:graphic>
              </wp:inline>
            </w:drawing>
          </w:r>
        </w:p>
      </w:tc>
    </w:tr>
  </w:tbl>
  <w:p w:rsidR="000A7032" w:rsidRPr="000A7032" w:rsidRDefault="000A7032" w:rsidP="000A703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32" w:rsidRDefault="000A70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4"/>
    <w:rsid w:val="00097544"/>
    <w:rsid w:val="000A7032"/>
    <w:rsid w:val="0020120F"/>
    <w:rsid w:val="00494AB1"/>
    <w:rsid w:val="009A5F3A"/>
    <w:rsid w:val="00C52853"/>
    <w:rsid w:val="00FD1430"/>
    <w:rsid w:val="00FE4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959CF-62B2-4161-91EE-2B8DF25E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2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FE4284"/>
    <w:rPr>
      <w:sz w:val="16"/>
      <w:szCs w:val="16"/>
    </w:rPr>
  </w:style>
  <w:style w:type="paragraph" w:styleId="Textocomentario">
    <w:name w:val="annotation text"/>
    <w:basedOn w:val="Normal"/>
    <w:link w:val="TextocomentarioCar"/>
    <w:uiPriority w:val="99"/>
    <w:unhideWhenUsed/>
    <w:rsid w:val="00FE4284"/>
    <w:pPr>
      <w:spacing w:line="240" w:lineRule="auto"/>
    </w:pPr>
    <w:rPr>
      <w:sz w:val="20"/>
      <w:szCs w:val="20"/>
    </w:rPr>
  </w:style>
  <w:style w:type="character" w:customStyle="1" w:styleId="TextocomentarioCar">
    <w:name w:val="Texto comentario Car"/>
    <w:basedOn w:val="Fuentedeprrafopredeter"/>
    <w:link w:val="Textocomentario"/>
    <w:uiPriority w:val="99"/>
    <w:rsid w:val="00FE4284"/>
    <w:rPr>
      <w:sz w:val="20"/>
      <w:szCs w:val="20"/>
    </w:rPr>
  </w:style>
  <w:style w:type="paragraph" w:styleId="Textodeglobo">
    <w:name w:val="Balloon Text"/>
    <w:basedOn w:val="Normal"/>
    <w:link w:val="TextodegloboCar"/>
    <w:uiPriority w:val="99"/>
    <w:semiHidden/>
    <w:unhideWhenUsed/>
    <w:rsid w:val="00FE4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284"/>
    <w:rPr>
      <w:rFonts w:ascii="Tahoma" w:hAnsi="Tahoma" w:cs="Tahoma"/>
      <w:sz w:val="16"/>
      <w:szCs w:val="16"/>
    </w:rPr>
  </w:style>
  <w:style w:type="paragraph" w:styleId="Encabezado">
    <w:name w:val="header"/>
    <w:basedOn w:val="Normal"/>
    <w:link w:val="EncabezadoCar"/>
    <w:uiPriority w:val="99"/>
    <w:unhideWhenUsed/>
    <w:rsid w:val="000A70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7032"/>
  </w:style>
  <w:style w:type="paragraph" w:styleId="Piedepgina">
    <w:name w:val="footer"/>
    <w:basedOn w:val="Normal"/>
    <w:link w:val="PiedepginaCar"/>
    <w:uiPriority w:val="99"/>
    <w:unhideWhenUsed/>
    <w:rsid w:val="000A70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pprl13 PAULA RODRIGUEZ LAVAL tfno:9252 68977</dc:creator>
  <cp:lastModifiedBy>Usuario</cp:lastModifiedBy>
  <cp:revision>2</cp:revision>
  <dcterms:created xsi:type="dcterms:W3CDTF">2020-02-14T10:44:00Z</dcterms:created>
  <dcterms:modified xsi:type="dcterms:W3CDTF">2020-02-14T10:44:00Z</dcterms:modified>
</cp:coreProperties>
</file>